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9C" w:rsidRPr="00AA409C" w:rsidRDefault="00AA409C" w:rsidP="00AA409C">
      <w:pPr>
        <w:shd w:val="clear" w:color="auto" w:fill="FFFFFF"/>
        <w:spacing w:before="540" w:after="165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F41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b/>
          <w:bCs/>
          <w:color w:val="3D3F41"/>
          <w:sz w:val="24"/>
          <w:szCs w:val="24"/>
          <w:lang w:eastAsia="ru-RU"/>
        </w:rPr>
        <w:t>Общ</w:t>
      </w:r>
      <w:r w:rsidR="003B67C5">
        <w:rPr>
          <w:rFonts w:ascii="Times New Roman" w:eastAsia="Times New Roman" w:hAnsi="Times New Roman" w:cs="Times New Roman"/>
          <w:b/>
          <w:bCs/>
          <w:color w:val="3D3F41"/>
          <w:sz w:val="24"/>
          <w:szCs w:val="24"/>
          <w:lang w:eastAsia="ru-RU"/>
        </w:rPr>
        <w:t>ая</w:t>
      </w:r>
      <w:bookmarkStart w:id="0" w:name="_GoBack"/>
      <w:bookmarkEnd w:id="0"/>
      <w:r w:rsidRPr="00AA409C">
        <w:rPr>
          <w:rFonts w:ascii="Times New Roman" w:eastAsia="Times New Roman" w:hAnsi="Times New Roman" w:cs="Times New Roman"/>
          <w:b/>
          <w:bCs/>
          <w:color w:val="3D3F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F41"/>
          <w:sz w:val="24"/>
          <w:szCs w:val="24"/>
          <w:lang w:eastAsia="ru-RU"/>
        </w:rPr>
        <w:t>информация</w:t>
      </w:r>
    </w:p>
    <w:p w:rsidR="00AA409C" w:rsidRPr="00AA409C" w:rsidRDefault="00AA409C" w:rsidP="00AA4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b/>
          <w:bCs/>
          <w:color w:val="3C3E40"/>
          <w:sz w:val="24"/>
          <w:szCs w:val="24"/>
          <w:bdr w:val="none" w:sz="0" w:space="0" w:color="auto" w:frame="1"/>
          <w:lang w:eastAsia="ru-RU"/>
        </w:rPr>
        <w:t>Коммерческий учет</w:t>
      </w: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 - процесс измерения объемов электрической энергии и значений электрической мощности, сбора и обработки результатов измерений, формирования расчетным путем на основании результатов измерений данных о количестве произведенной и потребленной электрической энергии (мощности) в соответствующих группах точек поставки, а также хранения и передачи указанных данных.</w:t>
      </w:r>
    </w:p>
    <w:p w:rsidR="00AA409C" w:rsidRPr="00AA409C" w:rsidRDefault="00AA409C" w:rsidP="00AA409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Коммерческий учет электрической энергии и контроль его осуществления субъектами розничного рынка электроэнергии осуществляют сетевые организации!</w:t>
      </w:r>
    </w:p>
    <w:p w:rsidR="00AA409C" w:rsidRPr="00AA409C" w:rsidRDefault="00AA409C" w:rsidP="00AA4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b/>
          <w:bCs/>
          <w:color w:val="3C3E40"/>
          <w:sz w:val="24"/>
          <w:szCs w:val="24"/>
          <w:bdr w:val="none" w:sz="0" w:space="0" w:color="auto" w:frame="1"/>
          <w:lang w:eastAsia="ru-RU"/>
        </w:rPr>
        <w:t>Порядок осуществления коммерческого учета сетевыми организациями</w:t>
      </w:r>
    </w:p>
    <w:p w:rsidR="00AA409C" w:rsidRPr="00AA409C" w:rsidRDefault="00AA409C" w:rsidP="00AA409C">
      <w:pPr>
        <w:shd w:val="clear" w:color="auto" w:fill="FFFFFF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Сетевая организация обеспечивает сбор данных коммерческого учета электрической энергии на границах балансовой принадлежности своих электрических сетей и </w:t>
      </w:r>
      <w:proofErr w:type="spellStart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энергопринимающих</w:t>
      </w:r>
      <w:proofErr w:type="spellEnd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 устройств потребителей, производителей электрической энергии и смежных сетевых организаций, а также на границах зоны деятельности гарантирующего поставщика и в соответствии с договорами оказания услуг по передаче электрической энергии представляет данные об учтенных величинах переданной электрической энергии и потерях электрической энергии лицам, электрические сети (</w:t>
      </w:r>
      <w:proofErr w:type="spellStart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энергопринимающие</w:t>
      </w:r>
      <w:proofErr w:type="spellEnd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 устройства, энергетические установки) которых присоединены к электрическим сетям указанной сетевой организации, и (или) обслуживающим их гарантирующим поставщикам (</w:t>
      </w:r>
      <w:proofErr w:type="spellStart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энергосбытовым</w:t>
      </w:r>
      <w:proofErr w:type="spellEnd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 организациям).</w:t>
      </w:r>
    </w:p>
    <w:p w:rsidR="00AA409C" w:rsidRPr="00AA409C" w:rsidRDefault="00AA409C" w:rsidP="00AA409C">
      <w:pPr>
        <w:shd w:val="clear" w:color="auto" w:fill="FFFFFF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Смежные сетевые организации, иные законные владельцы электрических сетей, потребители (обслуживающие их организации) и производители электрической энергии, чьи </w:t>
      </w:r>
      <w:proofErr w:type="spellStart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энергопринимающие</w:t>
      </w:r>
      <w:proofErr w:type="spellEnd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 устройства (энергетические установки) имеют непосредственное присоединение к электрическим сетям сетевой организации, представляют такой сетевой организации показания расчетных приборов учета, расположенных в границах балансовой принадлежности их электрических сетей (</w:t>
      </w:r>
      <w:proofErr w:type="spellStart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энергопринимающих</w:t>
      </w:r>
      <w:proofErr w:type="spellEnd"/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 xml:space="preserve"> устройств) с соблюдением формы и периодичности представления, определенных в договорах оказания услуг по передаче электрической энергии. Форма представления показаний расчетных приборов учета должна соответствовать типам приборов учета, которыми в соответствии с настоящим разделом оборудуются точки поставки на розничном рынке.</w:t>
      </w:r>
    </w:p>
    <w:p w:rsidR="00AA409C" w:rsidRPr="00AA409C" w:rsidRDefault="00AA409C" w:rsidP="00AA409C">
      <w:pPr>
        <w:shd w:val="clear" w:color="auto" w:fill="FFFFFF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Сетевые организации вправе проводить проверки соблюдения потребителями условий заключенных договоров, определяющих порядок учета поставляемой электрической энергии, а также наличия у потребителей оснований для потребления электрической энергии.</w:t>
      </w:r>
    </w:p>
    <w:p w:rsidR="00AA409C" w:rsidRPr="00AA409C" w:rsidRDefault="00AA409C" w:rsidP="00AA409C">
      <w:pPr>
        <w:shd w:val="clear" w:color="auto" w:fill="FFFFFF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Смежные сетевые организации, иные законные владельцы электрических сетей, потребители и производители электрической энергии также должны обеспечивать беспрепятственный доступ представителей сетевой организации к приборам учета, расположенным в границах балансовой принадлежности их электрических сетей, для целей осуществления проверки состояния таких приборов учета и снятия проверочных (контрольных) показаний.</w:t>
      </w:r>
    </w:p>
    <w:p w:rsidR="00AA409C" w:rsidRPr="00AA409C" w:rsidRDefault="00AA409C" w:rsidP="00AA409C">
      <w:pPr>
        <w:shd w:val="clear" w:color="auto" w:fill="FFFFFF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</w:pPr>
      <w:r w:rsidRPr="00AA409C">
        <w:rPr>
          <w:rFonts w:ascii="Times New Roman" w:eastAsia="Times New Roman" w:hAnsi="Times New Roman" w:cs="Times New Roman"/>
          <w:color w:val="3C3E40"/>
          <w:sz w:val="24"/>
          <w:szCs w:val="24"/>
          <w:lang w:eastAsia="ru-RU"/>
        </w:rPr>
        <w:t>Сетевая организация осуществляет контрольные проверки приборов учета не реже 1 раза в полгода, если договором оказания услуг по передаче электрической энергии не установлено иное</w:t>
      </w:r>
    </w:p>
    <w:p w:rsidR="00EE2FEB" w:rsidRDefault="00EE2FEB"/>
    <w:sectPr w:rsidR="00EE2FEB" w:rsidSect="00AA40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9C"/>
    <w:rsid w:val="003B67C5"/>
    <w:rsid w:val="00AA409C"/>
    <w:rsid w:val="00E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D8D3"/>
  <w15:chartTrackingRefBased/>
  <w15:docId w15:val="{D9815836-6F42-4F27-88DC-DEF5E3C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2021-04-09T09:26:00Z</dcterms:created>
  <dcterms:modified xsi:type="dcterms:W3CDTF">2021-04-09T09:29:00Z</dcterms:modified>
</cp:coreProperties>
</file>